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 w:cs="Arial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36"/>
          <w:szCs w:val="36"/>
        </w:rPr>
        <w:t>南京审计大学处置报废国有资产明细表</w:t>
      </w:r>
    </w:p>
    <w:p>
      <w:pPr>
        <w:spacing w:line="360" w:lineRule="auto"/>
        <w:ind w:firstLine="720" w:firstLineChars="200"/>
        <w:jc w:val="center"/>
        <w:rPr>
          <w:sz w:val="36"/>
          <w:szCs w:val="36"/>
        </w:rPr>
      </w:pPr>
    </w:p>
    <w:tbl>
      <w:tblPr>
        <w:tblStyle w:val="3"/>
        <w:tblW w:w="84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520"/>
        <w:gridCol w:w="1812"/>
        <w:gridCol w:w="1020"/>
        <w:gridCol w:w="1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00021555-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21556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00008611-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11,663.00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8623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00008684-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11,663.00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8691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00008708-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11,662.00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8712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00008722-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11,662.00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8723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00008724-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11,663.00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8727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00008742-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11,663.00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8746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00008762-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11,662.00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8763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00008781-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11,662.00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8783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00008808-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11,662.00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8810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00021495-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21501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报废金额小计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547320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报废金额大写</w: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伍拾肆万柒仟叁佰贰拾元整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71EDC"/>
    <w:rsid w:val="52071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春天的飞鸟</dc:creator>
  <cp:lastModifiedBy>春天的飞鸟</cp:lastModifiedBy>
  <dcterms:modified xsi:type="dcterms:W3CDTF">2018-01-16T08:15:07Z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