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06" w:type="dxa"/>
            <w:noWrap/>
            <w:vAlign w:val="center"/>
          </w:tcPr>
          <w:p>
            <w:pPr>
              <w:pStyle w:val="2"/>
              <w:ind w:left="0" w:leftChars="0" w:firstLine="0" w:firstLineChars="0"/>
            </w:pPr>
            <w:r>
              <w:rPr>
                <w:rFonts w:hint="eastAsia"/>
              </w:rPr>
              <w:t>附件</w:t>
            </w:r>
            <w:r>
              <w:t xml:space="preserve">1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食堂菜品价格核算表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 xml:space="preserve">餐厅：                               时间：     年     月                       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3"/>
              <w:gridCol w:w="660"/>
              <w:gridCol w:w="600"/>
              <w:gridCol w:w="602"/>
              <w:gridCol w:w="601"/>
              <w:gridCol w:w="601"/>
              <w:gridCol w:w="631"/>
              <w:gridCol w:w="631"/>
              <w:gridCol w:w="631"/>
              <w:gridCol w:w="691"/>
              <w:gridCol w:w="571"/>
              <w:gridCol w:w="552"/>
              <w:gridCol w:w="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71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  <w:t>菜肴</w:t>
                  </w:r>
                </w:p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  <w:t>名称</w:t>
                  </w:r>
                </w:p>
              </w:tc>
              <w:tc>
                <w:tcPr>
                  <w:tcW w:w="4957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  <w:t>成本类（调料： ﹪、水： ﹪、电： ﹪、天然气： ﹪、卫生  ﹪、毛利率： ﹪）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  <w:t>原材料合计金额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  <w:t>核算价格</w:t>
                  </w:r>
                </w:p>
              </w:tc>
              <w:tc>
                <w:tcPr>
                  <w:tcW w:w="5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  <w:t>原价</w:t>
                  </w:r>
                </w:p>
              </w:tc>
              <w:tc>
                <w:tcPr>
                  <w:tcW w:w="59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  <w:t>审定价格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6" w:hRule="atLeast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246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  <w:t>主料</w:t>
                  </w:r>
                </w:p>
              </w:tc>
              <w:tc>
                <w:tcPr>
                  <w:tcW w:w="2494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  <w:t>辅料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  <w:t>名称</w:t>
                  </w:r>
                </w:p>
              </w:tc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  <w:t>份量</w:t>
                  </w:r>
                </w:p>
              </w:tc>
              <w:tc>
                <w:tcPr>
                  <w:tcW w:w="6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  <w:t>单价</w:t>
                  </w:r>
                </w:p>
              </w:tc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  <w:t>金额</w:t>
                  </w:r>
                </w:p>
              </w:tc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  <w:t>名称</w:t>
                  </w:r>
                </w:p>
              </w:tc>
              <w:tc>
                <w:tcPr>
                  <w:tcW w:w="6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  <w:t>份量</w:t>
                  </w:r>
                </w:p>
              </w:tc>
              <w:tc>
                <w:tcPr>
                  <w:tcW w:w="6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  <w:t>单价</w:t>
                  </w:r>
                </w:p>
              </w:tc>
              <w:tc>
                <w:tcPr>
                  <w:tcW w:w="6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  <w:t>金额</w:t>
                  </w:r>
                </w:p>
              </w:tc>
              <w:tc>
                <w:tcPr>
                  <w:tcW w:w="6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5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5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5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5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5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6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5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仿宋" w:hAnsi="仿宋" w:eastAsia="仿宋" w:cs="宋体"/>
                      <w:color w:val="000000"/>
                      <w:kern w:val="0"/>
                      <w:sz w:val="28"/>
                      <w:szCs w:val="22"/>
                    </w:rPr>
                  </w:pPr>
                </w:p>
              </w:tc>
            </w:tr>
          </w:tbl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注：1.基本大伙类毛利率不超过35%、调料占比不超过4%、水电气占比不超过6%。</w:t>
            </w:r>
          </w:p>
          <w:p>
            <w:pPr>
              <w:widowControl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2.风味品种类毛利率不超过50%、调料占比不超过8%、水电气占比不超过6%。</w:t>
            </w:r>
          </w:p>
          <w:p>
            <w:pPr>
              <w:widowControl/>
              <w:ind w:firstLine="560" w:firstLineChars="200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审批:             审核：                 核算：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xMTRlYzRkY2IzZjcwZjFjN2JiYmJiOGMwODU0ODMifQ=="/>
  </w:docVars>
  <w:rsids>
    <w:rsidRoot w:val="00B74618"/>
    <w:rsid w:val="00853216"/>
    <w:rsid w:val="00AB009D"/>
    <w:rsid w:val="00B74618"/>
    <w:rsid w:val="3104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unhideWhenUsed/>
    <w:qFormat/>
    <w:uiPriority w:val="39"/>
    <w:pPr>
      <w:ind w:left="420" w:leftChars="200"/>
    </w:pPr>
    <w:rPr>
      <w:rFonts w:ascii="黑体" w:hAnsi="黑体" w:eastAsia="黑体"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TotalTime>2</TotalTime>
  <ScaleCrop>false</ScaleCrop>
  <LinksUpToDate>false</LinksUpToDate>
  <CharactersWithSpaces>397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2024-03-29T01:35:00Z</dcterms:created>
  <dc:creator>dgh</dc:creator>
  <cp:lastModifiedBy>I峰</cp:lastModifiedBy>
  <dcterms:modified xsi:type="dcterms:W3CDTF">2024-04-29T01:11:56Z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818CCA8C8441415E9BDE2E8C646006D4_12</vt:lpwstr>
  </property>
</Properties>
</file>